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Overweight (KSSO &gt;=23 / WHO &gt;=25, country-specific) (odds ratio per 1-SD 2.86 (95% CI 2.50 to 3.27),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2.86 (95% CI 2.50 to 3.27)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124.0</w:t>
            </w:r>
          </w:p>
        </w:tc>
        <w:tc>
          <w:tcPr>
            <w:tcW w:type="dxa" w:w="2160"/>
          </w:tcPr>
          <w:p>
            <w:r>
              <w:t>92.4</w:t>
            </w:r>
          </w:p>
        </w:tc>
        <w:tc>
          <w:tcPr>
            <w:tcW w:type="dxa" w:w="2160"/>
          </w:tcPr>
          <w:p>
            <w:r>
              <w:t>137.4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