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Overweight (KSSO &gt;=23 / WHO &gt;=25, country-specific) (odds ratio 1.56 (95% CI 1.42 to 1.70),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1.56 (95% CI 1.42 to 1.70)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24.4%</w:t>
            </w:r>
          </w:p>
        </w:tc>
        <w:tc>
          <w:tcPr>
            <w:tcW w:type="dxa" w:w="2160"/>
          </w:tcPr>
          <w:p>
            <w:r>
              <w:t>20.1%</w:t>
            </w:r>
          </w:p>
        </w:tc>
        <w:tc>
          <w:tcPr>
            <w:tcW w:type="dxa" w:w="2160"/>
          </w:tcPr>
          <w:p>
            <w:r>
              <w:t>26.2%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