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 mass, kg and Platelet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Appendicular skeletal muscle mass, kg was positively associated with Platelet count, 10^3/uL (beta coefficient per 1-SD 3.08 (95% CI 0.30 to 5.87), false discovery rate q 0.047) among 25490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3.08 (95% CI 0.30 to 5.87)</w:t>
            </w:r>
          </w:p>
        </w:tc>
        <w:tc>
          <w:tcPr>
            <w:tcW w:type="dxa" w:w="1234"/>
          </w:tcPr>
          <w:p>
            <w:r>
              <w:t>0.033</w:t>
            </w:r>
          </w:p>
        </w:tc>
        <w:tc>
          <w:tcPr>
            <w:tcW w:type="dxa" w:w="1234"/>
          </w:tcPr>
          <w:p>
            <w:r>
              <w:t>0.047</w:t>
            </w:r>
          </w:p>
        </w:tc>
        <w:tc>
          <w:tcPr>
            <w:tcW w:type="dxa" w:w="1234"/>
          </w:tcPr>
          <w:p>
            <w:r>
              <w:t>25490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Appendicular skeletal muscle mass, kg (exposure)</w:t>
            </w:r>
          </w:p>
        </w:tc>
        <w:tc>
          <w:tcPr>
            <w:tcW w:type="dxa" w:w="4320"/>
          </w:tcPr>
          <w:p>
            <w:r>
              <w:t>24.1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