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Age, years and Prediabetes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Age, years was positively associated with Prediabetes (odds ratio per 1-SD 1.54 (95% CI 1.48 to 1.60), false discovery rate q &lt;0.001) among 25660 adults aged 20 years or older (a weighted Prediabetes prevalence of 32.5 percent, 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1.54 (95% CI 1.48 to 1.60)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25660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Prediabetes</w:t>
            </w:r>
          </w:p>
        </w:tc>
        <w:tc>
          <w:tcPr>
            <w:tcW w:type="dxa" w:w="2160"/>
          </w:tcPr>
          <w:p>
            <w:r>
              <w:t>Prediabetes</w:t>
            </w:r>
          </w:p>
        </w:tc>
      </w:tr>
      <w:tr>
        <w:tc>
          <w:tcPr>
            <w:tcW w:type="dxa" w:w="2160"/>
          </w:tcPr>
          <w:p>
            <w:r>
              <w:t>Age, years (exposure)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45.4</w:t>
            </w:r>
          </w:p>
        </w:tc>
        <w:tc>
          <w:tcPr>
            <w:tcW w:type="dxa" w:w="2160"/>
          </w:tcPr>
          <w:p>
            <w:r>
              <w:t>52.3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45.4</w:t>
            </w:r>
          </w:p>
        </w:tc>
        <w:tc>
          <w:tcPr>
            <w:tcW w:type="dxa" w:w="2160"/>
          </w:tcPr>
          <w:p>
            <w:r>
              <w:t>52.3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46.0%</w:t>
            </w:r>
          </w:p>
        </w:tc>
        <w:tc>
          <w:tcPr>
            <w:tcW w:type="dxa" w:w="2160"/>
          </w:tcPr>
          <w:p>
            <w:r>
              <w:t>51.9%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30.1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42.0%</w:t>
            </w:r>
          </w:p>
        </w:tc>
        <w:tc>
          <w:tcPr>
            <w:tcW w:type="dxa" w:w="2160"/>
          </w:tcPr>
          <w:p>
            <w:r>
              <w:t>45.9%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