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Prediabetes (odds ratio per 1-SD 1.09 (95% CI 0.99 to 1.19), false discovery rate q 0.146)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0.99 to 1.19)</w:t>
            </w:r>
          </w:p>
        </w:tc>
        <w:tc>
          <w:tcPr>
            <w:tcW w:type="dxa" w:w="1234"/>
          </w:tcPr>
          <w:p>
            <w:r>
              <w:t>0.113</w:t>
            </w:r>
          </w:p>
        </w:tc>
        <w:tc>
          <w:tcPr>
            <w:tcW w:type="dxa" w:w="1234"/>
          </w:tcPr>
          <w:p>
            <w:r>
              <w:t>0.146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263.3</w:t>
            </w:r>
          </w:p>
        </w:tc>
        <w:tc>
          <w:tcPr>
            <w:tcW w:type="dxa" w:w="2160"/>
          </w:tcPr>
          <w:p>
            <w:r>
              <w:t>258.7</w:t>
            </w:r>
          </w:p>
        </w:tc>
        <w:tc>
          <w:tcPr>
            <w:tcW w:type="dxa" w:w="2160"/>
          </w:tcPr>
          <w:p>
            <w:r>
              <w:t>270.9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