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Dyslipidemia (KSoLA composite) and Prediabetes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Dyslipidemia (KSoLA composite) was positively associated with Prediabetes (odds ratio 1.23 (95% CI 1.13 to 1.33), false discovery rate q &lt;0.001) among 25660 adults aged 20 years or older (a weighted Prediabetes prevalence of 32.5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Glycemic and insulin-resistance measures are excluded as definitional or mediating. Adjustment for this exposure: Age, years, Male sex, Body mass index, kg/m2,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Dyslipidemia (KSoLA composite)</w:t>
            </w:r>
          </w:p>
        </w:tc>
        <w:tc>
          <w:tcPr>
            <w:tcW w:type="dxa" w:w="1234"/>
          </w:tcPr>
          <w:p>
            <w:r>
              <w:t>Prediabetes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1.23 (95% CI 1.13 to 1.33)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25660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Prediabetes</w:t>
            </w:r>
          </w:p>
        </w:tc>
        <w:tc>
          <w:tcPr>
            <w:tcW w:type="dxa" w:w="2160"/>
          </w:tcPr>
          <w:p>
            <w:r>
              <w:t>Prediabetes</w:t>
            </w:r>
          </w:p>
        </w:tc>
      </w:tr>
      <w:tr>
        <w:tc>
          <w:tcPr>
            <w:tcW w:type="dxa" w:w="2160"/>
          </w:tcPr>
          <w:p>
            <w:r>
              <w:t>Dyslipidemia (KSoLA composite) (exposure)</w:t>
            </w:r>
          </w:p>
        </w:tc>
        <w:tc>
          <w:tcPr>
            <w:tcW w:type="dxa" w:w="2160"/>
          </w:tcPr>
          <w:p>
            <w:r>
              <w:t>51.5%</w:t>
            </w:r>
          </w:p>
        </w:tc>
        <w:tc>
          <w:tcPr>
            <w:tcW w:type="dxa" w:w="2160"/>
          </w:tcPr>
          <w:p>
            <w:r>
              <w:t>48.0%</w:t>
            </w:r>
          </w:p>
        </w:tc>
        <w:tc>
          <w:tcPr>
            <w:tcW w:type="dxa" w:w="2160"/>
          </w:tcPr>
          <w:p>
            <w:r>
              <w:t>58.7%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47.7</w:t>
            </w:r>
          </w:p>
        </w:tc>
        <w:tc>
          <w:tcPr>
            <w:tcW w:type="dxa" w:w="2160"/>
          </w:tcPr>
          <w:p>
            <w:r>
              <w:t>45.4</w:t>
            </w:r>
          </w:p>
        </w:tc>
        <w:tc>
          <w:tcPr>
            <w:tcW w:type="dxa" w:w="2160"/>
          </w:tcPr>
          <w:p>
            <w:r>
              <w:t>52.3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47.9%</w:t>
            </w:r>
          </w:p>
        </w:tc>
        <w:tc>
          <w:tcPr>
            <w:tcW w:type="dxa" w:w="2160"/>
          </w:tcPr>
          <w:p>
            <w:r>
              <w:t>46.0%</w:t>
            </w:r>
          </w:p>
        </w:tc>
        <w:tc>
          <w:tcPr>
            <w:tcW w:type="dxa" w:w="2160"/>
          </w:tcPr>
          <w:p>
            <w:r>
              <w:t>51.9%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28.6</w:t>
            </w:r>
          </w:p>
        </w:tc>
        <w:tc>
          <w:tcPr>
            <w:tcW w:type="dxa" w:w="2160"/>
          </w:tcPr>
          <w:p>
            <w:r>
              <w:t>30.1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43.2%</w:t>
            </w:r>
          </w:p>
        </w:tc>
        <w:tc>
          <w:tcPr>
            <w:tcW w:type="dxa" w:w="2160"/>
          </w:tcPr>
          <w:p>
            <w:r>
              <w:t>42.0%</w:t>
            </w:r>
          </w:p>
        </w:tc>
        <w:tc>
          <w:tcPr>
            <w:tcW w:type="dxa" w:w="2160"/>
          </w:tcPr>
          <w:p>
            <w:r>
              <w:t>45.9%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80.7%</w:t>
            </w:r>
          </w:p>
        </w:tc>
        <w:tc>
          <w:tcPr>
            <w:tcW w:type="dxa" w:w="2160"/>
          </w:tcPr>
          <w:p>
            <w:r>
              <w:t>81.0%</w:t>
            </w:r>
          </w:p>
        </w:tc>
        <w:tc>
          <w:tcPr>
            <w:tcW w:type="dxa" w:w="2160"/>
          </w:tcPr>
          <w:p>
            <w:r>
              <w:t>80.2%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