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inversely associated with Prediabetes (odds ratio 0.92 (95% CI 0.79 to 1.07), false discovery rate q 0.332)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0.79 to 1.07)</w:t>
            </w:r>
          </w:p>
        </w:tc>
        <w:tc>
          <w:tcPr>
            <w:tcW w:type="dxa" w:w="1234"/>
          </w:tcPr>
          <w:p>
            <w:r>
              <w:t>0.280</w:t>
            </w:r>
          </w:p>
        </w:tc>
        <w:tc>
          <w:tcPr>
            <w:tcW w:type="dxa" w:w="1234"/>
          </w:tcPr>
          <w:p>
            <w:r>
              <w:t>0.332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