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Prediabetes (odds ratio per 1-SD 1.03 (95% CI 0.99 to 1.06), false discovery rate q 0.159) among 25660 adults aged 20 years or older (a weighted Prediabetes prevalence of 32.5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1.03 (95% CI 0.99 to 1.06)</w:t>
            </w:r>
          </w:p>
        </w:tc>
        <w:tc>
          <w:tcPr>
            <w:tcW w:type="dxa" w:w="1234"/>
          </w:tcPr>
          <w:p>
            <w:r>
              <w:t>0.125</w:t>
            </w:r>
          </w:p>
        </w:tc>
        <w:tc>
          <w:tcPr>
            <w:tcW w:type="dxa" w:w="1234"/>
          </w:tcPr>
          <w:p>
            <w:r>
              <w:t>0.159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Gamma-glutamyl transferase, IU/L (exposure)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27.5</w:t>
            </w:r>
          </w:p>
        </w:tc>
        <w:tc>
          <w:tcPr>
            <w:tcW w:type="dxa" w:w="2160"/>
          </w:tcPr>
          <w:p>
            <w:r>
              <w:t>30.4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