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Prediabetes (odds ratio 1.03 (95% CI 0.91 to 1.17), false discovery rate q 0.650)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0.91 to 1.17)</w:t>
            </w:r>
          </w:p>
        </w:tc>
        <w:tc>
          <w:tcPr>
            <w:tcW w:type="dxa" w:w="1234"/>
          </w:tcPr>
          <w:p>
            <w:r>
              <w:t>0.599</w:t>
            </w:r>
          </w:p>
        </w:tc>
        <w:tc>
          <w:tcPr>
            <w:tcW w:type="dxa" w:w="1234"/>
          </w:tcPr>
          <w:p>
            <w:r>
              <w:t>0.650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23.3%</w:t>
            </w:r>
          </w:p>
        </w:tc>
        <w:tc>
          <w:tcPr>
            <w:tcW w:type="dxa" w:w="2160"/>
          </w:tcPr>
          <w:p>
            <w:r>
              <w:t>27.2%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