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LDL cholesterol, mg/dL and Prediabetes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LDL cholesterol, mg/dL was positively associated with Prediabetes (odds ratio per 1-SD 1.35 (95% CI 1.29 to 1.42), false discovery rate q &lt;0.001) among 25660 adults aged 20 years or older (a weighted Prediabetes prevalence of 32.5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1.35 (95% CI 1.29 to 1.42)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25660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Prediabetes</w:t>
            </w:r>
          </w:p>
        </w:tc>
        <w:tc>
          <w:tcPr>
            <w:tcW w:type="dxa" w:w="2160"/>
          </w:tcPr>
          <w:p>
            <w:r>
              <w:t>Prediabetes</w:t>
            </w:r>
          </w:p>
        </w:tc>
      </w:tr>
      <w:tr>
        <w:tc>
          <w:tcPr>
            <w:tcW w:type="dxa" w:w="2160"/>
          </w:tcPr>
          <w:p>
            <w:r>
              <w:t>LDL cholesterol, mg/dL (exposure)</w:t>
            </w:r>
          </w:p>
        </w:tc>
        <w:tc>
          <w:tcPr>
            <w:tcW w:type="dxa" w:w="2160"/>
          </w:tcPr>
          <w:p>
            <w:r>
              <w:t>113.7</w:t>
            </w:r>
          </w:p>
        </w:tc>
        <w:tc>
          <w:tcPr>
            <w:tcW w:type="dxa" w:w="2160"/>
          </w:tcPr>
          <w:p>
            <w:r>
              <w:t>109.1</w:t>
            </w:r>
          </w:p>
        </w:tc>
        <w:tc>
          <w:tcPr>
            <w:tcW w:type="dxa" w:w="2160"/>
          </w:tcPr>
          <w:p>
            <w:r>
              <w:t>119.3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45.4</w:t>
            </w:r>
          </w:p>
        </w:tc>
        <w:tc>
          <w:tcPr>
            <w:tcW w:type="dxa" w:w="2160"/>
          </w:tcPr>
          <w:p>
            <w:r>
              <w:t>52.3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46.0%</w:t>
            </w:r>
          </w:p>
        </w:tc>
        <w:tc>
          <w:tcPr>
            <w:tcW w:type="dxa" w:w="2160"/>
          </w:tcPr>
          <w:p>
            <w:r>
              <w:t>51.9%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42.0%</w:t>
            </w:r>
          </w:p>
        </w:tc>
        <w:tc>
          <w:tcPr>
            <w:tcW w:type="dxa" w:w="2160"/>
          </w:tcPr>
          <w:p>
            <w:r>
              <w:t>45.9%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