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Prediabetes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Obesity (KSSO &gt;=25 / WHO &gt;=30, country-specific) was positively associated with Prediabetes (odds ratio 1.38 (95% CI 1.26 to 1.51), false discovery rate q &lt;0.001) among 25660 adults aged 20 years or older (a weighted Prediabetes prevalence of 32.5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1.38 (95% CI 1.26 to 1.51)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Obesity (KSSO &gt;=25 / WHO &gt;=30, country-specific) (exposure)</w:t>
            </w:r>
          </w:p>
        </w:tc>
        <w:tc>
          <w:tcPr>
            <w:tcW w:type="dxa" w:w="2160"/>
          </w:tcPr>
          <w:p>
            <w:r>
              <w:t>37.0%</w:t>
            </w:r>
          </w:p>
        </w:tc>
        <w:tc>
          <w:tcPr>
            <w:tcW w:type="dxa" w:w="2160"/>
          </w:tcPr>
          <w:p>
            <w:r>
              <w:t>34.5%</w:t>
            </w:r>
          </w:p>
        </w:tc>
        <w:tc>
          <w:tcPr>
            <w:tcW w:type="dxa" w:w="2160"/>
          </w:tcPr>
          <w:p>
            <w:r>
              <w:t>42.1%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46.0%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