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Prediabetes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25(OH)D, ng/mL was inversely associated with Prediabetes (odds ratio per 1-SD 0.94 (95% CI 0.89 to 0.99), false discovery rate q 0.025) among 25660 adults aged 20 years or older (a weighted Prediabetes prevalence of 32.5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0.94 (95% CI 0.89 to 0.99)</w:t>
            </w:r>
          </w:p>
        </w:tc>
        <w:tc>
          <w:tcPr>
            <w:tcW w:type="dxa" w:w="1234"/>
          </w:tcPr>
          <w:p>
            <w:r>
              <w:t>0.017</w:t>
            </w:r>
          </w:p>
        </w:tc>
        <w:tc>
          <w:tcPr>
            <w:tcW w:type="dxa" w:w="1234"/>
          </w:tcPr>
          <w:p>
            <w:r>
              <w:t>0.025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Serum 25(OH)D, ng/mL (exposure)</w:t>
            </w:r>
          </w:p>
        </w:tc>
        <w:tc>
          <w:tcPr>
            <w:tcW w:type="dxa" w:w="2160"/>
          </w:tcPr>
          <w:p>
            <w:r>
              <w:t>28.2</w:t>
            </w:r>
          </w:p>
        </w:tc>
        <w:tc>
          <w:tcPr>
            <w:tcW w:type="dxa" w:w="2160"/>
          </w:tcPr>
          <w:p>
            <w:r>
              <w:t>28.2</w:t>
            </w:r>
          </w:p>
        </w:tc>
        <w:tc>
          <w:tcPr>
            <w:tcW w:type="dxa" w:w="2160"/>
          </w:tcPr>
          <w:p>
            <w:r>
              <w:t>28.2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45.4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46.0%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42.0%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