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Prediabetes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Total lean mass, kg was positively associated with Prediabetes (odds ratio per 1-SD 1.25 (95% CI 1.15 to 1.36), false discovery rate q &lt;0.001) among 25660 adults aged 20 years or older (a weighted Prediabetes prevalence of 32.5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1.25 (95% CI 1.15 to 1.36)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Total lean mass, kg (exposure)</w:t>
            </w:r>
          </w:p>
        </w:tc>
        <w:tc>
          <w:tcPr>
            <w:tcW w:type="dxa" w:w="2160"/>
          </w:tcPr>
          <w:p>
            <w:r>
              <w:t>54.8</w:t>
            </w:r>
          </w:p>
        </w:tc>
        <w:tc>
          <w:tcPr>
            <w:tcW w:type="dxa" w:w="2160"/>
          </w:tcPr>
          <w:p>
            <w:r>
              <w:t>53.9</w:t>
            </w:r>
          </w:p>
        </w:tc>
        <w:tc>
          <w:tcPr>
            <w:tcW w:type="dxa" w:w="2160"/>
          </w:tcPr>
          <w:p>
            <w:r>
              <w:t>56.9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45.4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46.0%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42.0%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