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Prediabetes (odds ratio per 1-SD 0.99 (95% CI 0.93 to 1.04), false discovery rate q 0.665)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1.04)</w:t>
            </w:r>
          </w:p>
        </w:tc>
        <w:tc>
          <w:tcPr>
            <w:tcW w:type="dxa" w:w="1234"/>
          </w:tcPr>
          <w:p>
            <w:r>
              <w:t>0.617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124.1</w:t>
            </w:r>
          </w:p>
        </w:tc>
        <w:tc>
          <w:tcPr>
            <w:tcW w:type="dxa" w:w="2160"/>
          </w:tcPr>
          <w:p>
            <w:r>
              <w:t>121.2</w:t>
            </w:r>
          </w:p>
        </w:tc>
        <w:tc>
          <w:tcPr>
            <w:tcW w:type="dxa" w:w="2160"/>
          </w:tcPr>
          <w:p>
            <w:r>
              <w:t>127.6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