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Serum 25(OH)D, ng/mL (beta coefficient per 1-SD 0.04 (95% CI -0.18 to 0.27), false discovery rate q 0.747)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-0.18 to 0.27)</w:t>
            </w:r>
          </w:p>
        </w:tc>
        <w:tc>
          <w:tcPr>
            <w:tcW w:type="dxa" w:w="1234"/>
          </w:tcPr>
          <w:p>
            <w:r>
              <w:t>0.709</w:t>
            </w:r>
          </w:p>
        </w:tc>
        <w:tc>
          <w:tcPr>
            <w:tcW w:type="dxa" w:w="1234"/>
          </w:tcPr>
          <w:p>
            <w:r>
              <w:t>0.747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