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Serum 25(OH)D, ng/mL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Atherogenic dyslipidemia (high TG + low HDL) was inversely associated with Serum 25(OH)D, ng/mL (beta coefficient -0.89 (95% CI -1.70 to -0.07), false discovery rate q 0.050) among 24836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-0.89 (95% CI -1.70 to -0.07)</w:t>
            </w:r>
          </w:p>
        </w:tc>
        <w:tc>
          <w:tcPr>
            <w:tcW w:type="dxa" w:w="1234"/>
          </w:tcPr>
          <w:p>
            <w:r>
              <w:t>0.035</w:t>
            </w:r>
          </w:p>
        </w:tc>
        <w:tc>
          <w:tcPr>
            <w:tcW w:type="dxa" w:w="1234"/>
          </w:tcPr>
          <w:p>
            <w:r>
              <w:t>0.050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Atherogenic dyslipidemia (high TG + low HDL) (exposure)</w:t>
            </w:r>
          </w:p>
        </w:tc>
        <w:tc>
          <w:tcPr>
            <w:tcW w:type="dxa" w:w="4320"/>
          </w:tcPr>
          <w:p>
            <w:r>
              <w:t>13.0%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