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Chronic kidney disease (KDIGO: eGFR&lt;60 or ACR&gt;=30) was inversely associated with Serum 25(OH)D, ng/mL (beta coefficient -0.16 (95% CI -0.75 to 0.43), false discovery rate q 0.646) among 24836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-0.16 (95% CI -0.75 to 0.43)</w:t>
            </w:r>
          </w:p>
        </w:tc>
        <w:tc>
          <w:tcPr>
            <w:tcW w:type="dxa" w:w="1234"/>
          </w:tcPr>
          <w:p>
            <w:r>
              <w:t>0.595</w:t>
            </w:r>
          </w:p>
        </w:tc>
        <w:tc>
          <w:tcPr>
            <w:tcW w:type="dxa" w:w="1234"/>
          </w:tcPr>
          <w:p>
            <w:r>
              <w:t>0.646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Chronic kidney disease (KDIGO: eGFR&lt;60 or ACR&gt;=30) (exposure)</w:t>
            </w:r>
          </w:p>
        </w:tc>
        <w:tc>
          <w:tcPr>
            <w:tcW w:type="dxa" w:w="4320"/>
          </w:tcPr>
          <w:p>
            <w:r>
              <w:t>13.2%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