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Dyslipidemia (KSoLA composite) and Serum 25(OH)D, ng/mL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Dyslipidemia (KSoLA composite) was inversely associated with Serum 25(OH)D, ng/mL (beta coefficient -0.07 (95% CI -0.49 to 0.34), false discovery rate q 0.762) among 24836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Dyslipidemia (KSoLA composite)</w:t>
            </w:r>
          </w:p>
        </w:tc>
        <w:tc>
          <w:tcPr>
            <w:tcW w:type="dxa" w:w="1234"/>
          </w:tcPr>
          <w:p>
            <w:r>
              <w:t>Serum 25(OH)D, ng/mL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-0.07 (95% CI -0.49 to 0.34)</w:t>
            </w:r>
          </w:p>
        </w:tc>
        <w:tc>
          <w:tcPr>
            <w:tcW w:type="dxa" w:w="1234"/>
          </w:tcPr>
          <w:p>
            <w:r>
              <w:t>0.726</w:t>
            </w:r>
          </w:p>
        </w:tc>
        <w:tc>
          <w:tcPr>
            <w:tcW w:type="dxa" w:w="1234"/>
          </w:tcPr>
          <w:p>
            <w:r>
              <w:t>0.762</w:t>
            </w:r>
          </w:p>
        </w:tc>
        <w:tc>
          <w:tcPr>
            <w:tcW w:type="dxa" w:w="1234"/>
          </w:tcPr>
          <w:p>
            <w:r>
              <w:t>24836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Dyslipidemia (KSoLA composite) (exposure)</w:t>
            </w:r>
          </w:p>
        </w:tc>
        <w:tc>
          <w:tcPr>
            <w:tcW w:type="dxa" w:w="4320"/>
          </w:tcPr>
          <w:p>
            <w:r>
              <w:t>51.3%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47.6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48.0%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43.2%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80.8%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29.1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