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Serum 25(OH)D, ng/mL (beta coefficient -0.33 (95% CI -1.39 to 0.72), false discovery rate q 0.595)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-1.39 to 0.72)</w:t>
            </w:r>
          </w:p>
        </w:tc>
        <w:tc>
          <w:tcPr>
            <w:tcW w:type="dxa" w:w="1234"/>
          </w:tcPr>
          <w:p>
            <w:r>
              <w:t>0.539</w:t>
            </w:r>
          </w:p>
        </w:tc>
        <w:tc>
          <w:tcPr>
            <w:tcW w:type="dxa" w:w="1234"/>
          </w:tcPr>
          <w:p>
            <w:r>
              <w:t>0.595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