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Serum 25(OH)D, ng/mL (beta coefficient per 1-SD -0.09 (95% CI -0.42 to 0.23), false discovery rate q 0.621)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-0.42 to 0.23)</w:t>
            </w:r>
          </w:p>
        </w:tc>
        <w:tc>
          <w:tcPr>
            <w:tcW w:type="dxa" w:w="1234"/>
          </w:tcPr>
          <w:p>
            <w:r>
              <w:t>0.568</w:t>
            </w:r>
          </w:p>
        </w:tc>
        <w:tc>
          <w:tcPr>
            <w:tcW w:type="dxa" w:w="1234"/>
          </w:tcPr>
          <w:p>
            <w:r>
              <w:t>0.621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