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Hepatic steatosis was inversely associated with Serum 25(OH)D, ng/mL (beta coefficient -1.63 (95% CI -3.50 to 0.23), false discovery rate q 0.153) among 24836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-1.63 (95% CI -3.50 to 0.23)</w:t>
            </w:r>
          </w:p>
        </w:tc>
        <w:tc>
          <w:tcPr>
            <w:tcW w:type="dxa" w:w="1234"/>
          </w:tcPr>
          <w:p>
            <w:r>
              <w:t>0.120</w:t>
            </w:r>
          </w:p>
        </w:tc>
        <w:tc>
          <w:tcPr>
            <w:tcW w:type="dxa" w:w="1234"/>
          </w:tcPr>
          <w:p>
            <w:r>
              <w:t>0.153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(exposure)</w:t>
            </w:r>
          </w:p>
        </w:tc>
        <w:tc>
          <w:tcPr>
            <w:tcW w:type="dxa" w:w="4320"/>
          </w:tcPr>
          <w:p>
            <w:r>
              <w:t>56.3%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