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Serum 25(OH)D, ng/mL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Hypertension was inversely associated with Serum 25(OH)D, ng/mL (beta coefficient -0.43 (95% CI -0.91 to 0.05), false discovery rate q 0.108) among 24836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-0.43 (95% CI -0.91 to 0.05)</w:t>
            </w:r>
          </w:p>
        </w:tc>
        <w:tc>
          <w:tcPr>
            <w:tcW w:type="dxa" w:w="1234"/>
          </w:tcPr>
          <w:p>
            <w:r>
              <w:t>0.082</w:t>
            </w:r>
          </w:p>
        </w:tc>
        <w:tc>
          <w:tcPr>
            <w:tcW w:type="dxa" w:w="1234"/>
          </w:tcPr>
          <w:p>
            <w:r>
              <w:t>0.108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Hypertension (exposure)</w:t>
            </w:r>
          </w:p>
        </w:tc>
        <w:tc>
          <w:tcPr>
            <w:tcW w:type="dxa" w:w="4320"/>
          </w:tcPr>
          <w:p>
            <w:r>
              <w:t>36.2%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