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inversely associated with Serum 25(OH)D, ng/mL (beta coefficient -0.05 (95% CI -0.68 to 0.58), false discovery rate q 0.892)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-0.68 to 0.58)</w:t>
            </w:r>
          </w:p>
        </w:tc>
        <w:tc>
          <w:tcPr>
            <w:tcW w:type="dxa" w:w="1234"/>
          </w:tcPr>
          <w:p>
            <w:r>
              <w:t>0.872</w:t>
            </w:r>
          </w:p>
        </w:tc>
        <w:tc>
          <w:tcPr>
            <w:tcW w:type="dxa" w:w="1234"/>
          </w:tcPr>
          <w:p>
            <w:r>
              <w:t>0.892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