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MASLD was inversely associated with Serum 25(OH)D, ng/mL (beta coefficient -1.75 (95% CI -3.37 to -0.13), false discovery rate q 0.085) among 24836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-1.75 (95% CI -3.37 to -0.13)</w:t>
            </w:r>
          </w:p>
        </w:tc>
        <w:tc>
          <w:tcPr>
            <w:tcW w:type="dxa" w:w="1234"/>
          </w:tcPr>
          <w:p>
            <w:r>
              <w:t>0.063</w:t>
            </w:r>
          </w:p>
        </w:tc>
        <w:tc>
          <w:tcPr>
            <w:tcW w:type="dxa" w:w="1234"/>
          </w:tcPr>
          <w:p>
            <w:r>
              <w:t>0.085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MASLD (exposure)</w:t>
            </w:r>
          </w:p>
        </w:tc>
        <w:tc>
          <w:tcPr>
            <w:tcW w:type="dxa" w:w="4320"/>
          </w:tcPr>
          <w:p>
            <w:r>
              <w:t>51.3%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