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inversely associated with Serum 25(OH)D, ng/mL (beta coefficient per 1-SD -0.11 (95% CI -0.36 to 0.14), false discovery rate q 0.456)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-0.11 (95% CI -0.36 to 0.14)</w:t>
            </w:r>
          </w:p>
        </w:tc>
        <w:tc>
          <w:tcPr>
            <w:tcW w:type="dxa" w:w="1234"/>
          </w:tcPr>
          <w:p>
            <w:r>
              <w:t>0.399</w:t>
            </w:r>
          </w:p>
        </w:tc>
        <w:tc>
          <w:tcPr>
            <w:tcW w:type="dxa" w:w="1234"/>
          </w:tcPr>
          <w:p>
            <w:r>
              <w:t>0.456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