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Serum creatinine,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Current smoking was inversely associated with Serum creatinine, mg/dL (beta coefficient -0.02 (95% CI -0.03 to -0.01), false discovery rate q &lt;0.001) among 22274 adults aged 20 years or older (survey-weighted).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-0.02 (95% CI -0.03 to -0.01)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Current smoking (exposure)</w:t>
            </w:r>
          </w:p>
        </w:tc>
        <w:tc>
          <w:tcPr>
            <w:tcW w:type="dxa" w:w="4320"/>
          </w:tcPr>
          <w:p>
            <w:r>
              <w:t>18.9%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