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Serum creatinine,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insulin, uIU/mL was inversely associated with Serum creatinine, mg/dL (beta coefficient per 1-SD of log -0.01 (95% CI -0.03 to 0.00), false discovery rate q 0.224)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-0.03 to 0.00)</w:t>
            </w:r>
          </w:p>
        </w:tc>
        <w:tc>
          <w:tcPr>
            <w:tcW w:type="dxa" w:w="1234"/>
          </w:tcPr>
          <w:p>
            <w:r>
              <w:t>0.182</w:t>
            </w:r>
          </w:p>
        </w:tc>
        <w:tc>
          <w:tcPr>
            <w:tcW w:type="dxa" w:w="1234"/>
          </w:tcPr>
          <w:p>
            <w:r>
              <w:t>0.224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beta coefficient is per 1-SD increase in the natural log of Fasting insulin, uIU/mL.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insulin, uIU/mL (exposure)</w:t>
            </w:r>
          </w:p>
        </w:tc>
        <w:tc>
          <w:tcPr>
            <w:tcW w:type="dxa" w:w="4320"/>
          </w:tcPr>
          <w:p>
            <w:r>
              <w:t>13.8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