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HbA1c, % was inversely associated with Serum creatinine, mg/dL (beta coefficient per 1-SD -0.00 (95% CI -0.01 to 0.00), false discovery rate q 0.312)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0.00)</w:t>
            </w:r>
          </w:p>
        </w:tc>
        <w:tc>
          <w:tcPr>
            <w:tcW w:type="dxa" w:w="1234"/>
          </w:tcPr>
          <w:p>
            <w:r>
              <w:t>0.261</w:t>
            </w:r>
          </w:p>
        </w:tc>
        <w:tc>
          <w:tcPr>
            <w:tcW w:type="dxa" w:w="1234"/>
          </w:tcPr>
          <w:p>
            <w:r>
              <w:t>0.312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