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Serum uric acid, mg/dL (beta coefficient -0.01 (95% CI -0.09 to 0.07), false discovery rate q 0.871)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-0.09 to 0.07)</w:t>
            </w:r>
          </w:p>
        </w:tc>
        <w:tc>
          <w:tcPr>
            <w:tcW w:type="dxa" w:w="1234"/>
          </w:tcPr>
          <w:p>
            <w:r>
              <w:t>0.849</w:t>
            </w:r>
          </w:p>
        </w:tc>
        <w:tc>
          <w:tcPr>
            <w:tcW w:type="dxa" w:w="1234"/>
          </w:tcPr>
          <w:p>
            <w:r>
              <w:t>0.871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