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muscle, %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muscle, % was inversely associated with Serum uric acid, mg/dL (beta coefficient per 1-SD -0.45 (95% CI -0.49 to -0.40),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-0.45 (95% CI -0.49 to -0.40)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muscle, % (exposure)</w:t>
            </w:r>
          </w:p>
        </w:tc>
        <w:tc>
          <w:tcPr>
            <w:tcW w:type="dxa" w:w="4320"/>
          </w:tcPr>
          <w:p>
            <w:r>
              <w:t>29.4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