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Diastolic blood pressure, mmHg and Serum uric acid, mg/dL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Diastolic blood pressure, mmHg was positively associated with Serum uric acid, mg/dL (beta coefficient per 1-SD 0.02 (95% CI 0.00 to 0.04), false discovery rate q 0.071) among 24980 adults aged 20 years or older (survey-weighted). Confounders: Age, years, Male sex, Ever smoking (past/current), Ever alcohol (past/current), Body mass index, kg/m2.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(past/current), Body mass index, kg/m2.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Diastolic blood pressure, mmHg</w:t>
            </w:r>
          </w:p>
        </w:tc>
        <w:tc>
          <w:tcPr>
            <w:tcW w:type="dxa" w:w="1234"/>
          </w:tcPr>
          <w:p>
            <w:r>
              <w:t>Serum uric acid, mg/dL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0.02 (95% CI 0.00 to 0.04)</w:t>
            </w:r>
          </w:p>
        </w:tc>
        <w:tc>
          <w:tcPr>
            <w:tcW w:type="dxa" w:w="1234"/>
          </w:tcPr>
          <w:p>
            <w:r>
              <w:t>0.051</w:t>
            </w:r>
          </w:p>
        </w:tc>
        <w:tc>
          <w:tcPr>
            <w:tcW w:type="dxa" w:w="1234"/>
          </w:tcPr>
          <w:p>
            <w:r>
              <w:t>0.071</w:t>
            </w:r>
          </w:p>
        </w:tc>
        <w:tc>
          <w:tcPr>
            <w:tcW w:type="dxa" w:w="1234"/>
          </w:tcPr>
          <w:p>
            <w:r>
              <w:t>24980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Diastolic blood pressure, mmHg (exposure)</w:t>
            </w:r>
          </w:p>
        </w:tc>
        <w:tc>
          <w:tcPr>
            <w:tcW w:type="dxa" w:w="4320"/>
          </w:tcPr>
          <w:p>
            <w:r>
              <w:t>71.5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48.1%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43.3%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80.7%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