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Serum uric acid, mg/dL (beta coefficient per 1-SD 0.02 (95% CI -0.01 to 0.05), false discovery rate q 0.296)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-0.01 to 0.05)</w:t>
            </w:r>
          </w:p>
        </w:tc>
        <w:tc>
          <w:tcPr>
            <w:tcW w:type="dxa" w:w="1234"/>
          </w:tcPr>
          <w:p>
            <w:r>
              <w:t>0.246</w:t>
            </w:r>
          </w:p>
        </w:tc>
        <w:tc>
          <w:tcPr>
            <w:tcW w:type="dxa" w:w="1234"/>
          </w:tcPr>
          <w:p>
            <w:r>
              <w:t>0.296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