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Serum uric acid, mg/dL (beta coefficient per 1-SD -0.01 (95% CI -0.06 to 0.04), false discovery rate q 0.774)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-0.06 to 0.04)</w:t>
            </w:r>
          </w:p>
        </w:tc>
        <w:tc>
          <w:tcPr>
            <w:tcW w:type="dxa" w:w="1234"/>
          </w:tcPr>
          <w:p>
            <w:r>
              <w:t>0.740</w:t>
            </w:r>
          </w:p>
        </w:tc>
        <w:tc>
          <w:tcPr>
            <w:tcW w:type="dxa" w:w="1234"/>
          </w:tcPr>
          <w:p>
            <w:r>
              <w:t>0.774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