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Triglycerides, mg/dL was positively associated with Serum uric acid, mg/dL (beta coefficient per 1-SD 0.17 (95% CI 0.11 to 0.22), false discovery rate q &lt;0.001)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0.17 (95% CI 0.11 to 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Triglycerides, mg/dL (exposure)</w:t>
            </w:r>
          </w:p>
        </w:tc>
        <w:tc>
          <w:tcPr>
            <w:tcW w:type="dxa" w:w="4320"/>
          </w:tcPr>
          <w:p>
            <w:r>
              <w:t>124.1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