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Serum uric acid, mg/dL (beta coefficient -0.03 (95% CI -0.08 to 0.02), false discovery rate q 0.266)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-0.08 to 0.02)</w:t>
            </w:r>
          </w:p>
        </w:tc>
        <w:tc>
          <w:tcPr>
            <w:tcW w:type="dxa" w:w="1234"/>
          </w:tcPr>
          <w:p>
            <w:r>
              <w:t>0.219</w:t>
            </w:r>
          </w:p>
        </w:tc>
        <w:tc>
          <w:tcPr>
            <w:tcW w:type="dxa" w:w="1234"/>
          </w:tcPr>
          <w:p>
            <w:r>
              <w:t>0.266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