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Waist circumference, cm and Serum uric acid,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Waist circumference, cm was positively associated with Serum uric acid, mg/dL (beta coefficient per 1-SD 0.42 (95% CI 0.39 to 0.44), false discovery rate q &lt;0.001) among 24980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Waist circumference, cm</w:t>
            </w:r>
          </w:p>
        </w:tc>
        <w:tc>
          <w:tcPr>
            <w:tcW w:type="dxa" w:w="1234"/>
          </w:tcPr>
          <w:p>
            <w:r>
              <w:t>Serum uric acid,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0.42 (95% CI 0.39 to 0.44)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24980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Waist circumference, cm (exposure)</w:t>
            </w:r>
          </w:p>
        </w:tc>
        <w:tc>
          <w:tcPr>
            <w:tcW w:type="dxa" w:w="4320"/>
          </w:tcPr>
          <w:p>
            <w:r>
              <w:t>99.2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