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mass index, kg/m2 and Systolic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Body mass index, kg/m2 was positively associated with Systolic blood pressure, mmHg (beta coefficient per 1-SD 2.05 (95% CI 1.80 to 2.31), false discovery rate q &lt;0.001) among 24727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2.05 (95% CI 1.80 to 2.31)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Body mass index, kg/m2 (exposure)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