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Systolic blood pressure, mmHg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positively associated with Systolic blood pressure, mmHg (beta coefficient per 1-SD 0.49 (95% CI 0.09 to 0.90), false discovery rate q 0.028) among 24727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0.49 (95% CI 0.09 to 0.90)</w:t>
            </w:r>
          </w:p>
        </w:tc>
        <w:tc>
          <w:tcPr>
            <w:tcW w:type="dxa" w:w="1234"/>
          </w:tcPr>
          <w:p>
            <w:r>
              <w:t>0.019</w:t>
            </w:r>
          </w:p>
        </w:tc>
        <w:tc>
          <w:tcPr>
            <w:tcW w:type="dxa" w:w="1234"/>
          </w:tcPr>
          <w:p>
            <w:r>
              <w:t>0.028</w:t>
            </w:r>
          </w:p>
        </w:tc>
        <w:tc>
          <w:tcPr>
            <w:tcW w:type="dxa" w:w="1234"/>
          </w:tcPr>
          <w:p>
            <w:r>
              <w:t>24727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48.6%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