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Controlled attenuation parameter, dB/m and Total fat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Controlled attenuation parameter, dB/m was positively associated with Total fat mass, kg (beta coefficient per 1-SD 6.51 (95% CI 5.58 to 7.45), false discovery rate q &lt;0.001)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6.51 (95% CI 5.58 to 7.45)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Controlled attenuation parameter, dB/m (exposure)</w:t>
            </w:r>
          </w:p>
        </w:tc>
        <w:tc>
          <w:tcPr>
            <w:tcW w:type="dxa" w:w="4320"/>
          </w:tcPr>
          <w:p>
            <w:r>
              <w:t>256.6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