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eGFR (CKD-EPI 2021), mL/min/1.73m2 and Total fat mass, kg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eGFR (CKD-EPI 2021), mL/min/1.73m2 was positively associated with Total fat mass, kg (beta coefficient per 1-SD 0.28 (95% CI -0.11 to 0.66), false discovery rate q 0.208) among 8785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Total fat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0.28 (95% CI -0.11 to 0.66)</w:t>
            </w:r>
          </w:p>
        </w:tc>
        <w:tc>
          <w:tcPr>
            <w:tcW w:type="dxa" w:w="1234"/>
          </w:tcPr>
          <w:p>
            <w:r>
              <w:t>0.168</w:t>
            </w:r>
          </w:p>
        </w:tc>
        <w:tc>
          <w:tcPr>
            <w:tcW w:type="dxa" w:w="1234"/>
          </w:tcPr>
          <w:p>
            <w:r>
              <w:t>0.208</w:t>
            </w:r>
          </w:p>
        </w:tc>
        <w:tc>
          <w:tcPr>
            <w:tcW w:type="dxa" w:w="1234"/>
          </w:tcPr>
          <w:p>
            <w:r>
              <w:t>8785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eGFR (CKD-EPI 2021), mL/min/1.73m2 (exposure)</w:t>
            </w:r>
          </w:p>
        </w:tc>
        <w:tc>
          <w:tcPr>
            <w:tcW w:type="dxa" w:w="4320"/>
          </w:tcPr>
          <w:p>
            <w:r>
              <w:t>102.7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