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MASLD and Total fat mass, kg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MASLD was positively associated with Total fat mass, kg (beta coefficient 11.39 (95% CI 9.80 to 12.99), false discovery rate q &lt;0.001) among 8785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MASLD</w:t>
            </w:r>
          </w:p>
        </w:tc>
        <w:tc>
          <w:tcPr>
            <w:tcW w:type="dxa" w:w="1234"/>
          </w:tcPr>
          <w:p>
            <w:r>
              <w:t>Total fat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11.39 (95% CI 9.80 to 12.99)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8785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MASLD (exposure)</w:t>
            </w:r>
          </w:p>
        </w:tc>
        <w:tc>
          <w:tcPr>
            <w:tcW w:type="dxa" w:w="4320"/>
          </w:tcPr>
          <w:p>
            <w:r>
              <w:t>46.1%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