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Dyslipidemia (KSoLA composite) and Total lean mass, kg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Dyslipidemia (KSoLA composite) was positively associated with Total lean mass, kg (beta coefficient 3.72 (95% CI 3.08 to 4.37), false discovery rate q &lt;0.001) among 8785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Dyslipidemia (KSoLA composite)</w:t>
            </w:r>
          </w:p>
        </w:tc>
        <w:tc>
          <w:tcPr>
            <w:tcW w:type="dxa" w:w="1234"/>
          </w:tcPr>
          <w:p>
            <w:r>
              <w:t>Total lean mass, kg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3.72 (95% CI 3.08 to 4.37)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8785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Dyslipidemia (KSoLA composite) (exposure)</w:t>
            </w:r>
          </w:p>
        </w:tc>
        <w:tc>
          <w:tcPr>
            <w:tcW w:type="dxa" w:w="4320"/>
          </w:tcPr>
          <w:p>
            <w:r>
              <w:t>45.3%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40.3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43.2%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81.8%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