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Obesity (KSSO &gt;=25 / WHO &gt;=30, country-specific) and Triglycerides, mg/dL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Obesity (KSSO &gt;=25 / WHO &gt;=30, country-specific) was positively associated with Triglycerides, mg/dL (beta coefficient 31.70 (95% CI 27.07 to 36.33), false discovery rate q &lt;0.001) among 12287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Obesity (KSSO &gt;=25 / WHO &gt;=30, country-specific)</w:t>
            </w:r>
          </w:p>
        </w:tc>
        <w:tc>
          <w:tcPr>
            <w:tcW w:type="dxa" w:w="1234"/>
          </w:tcPr>
          <w:p>
            <w:r>
              <w:t>Triglycerides, mg/dL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31.70 (95% CI 27.07 to 36.33)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12287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Obesity (KSSO &gt;=25 / WHO &gt;=30, country-specific) (exposure)</w:t>
            </w:r>
          </w:p>
        </w:tc>
        <w:tc>
          <w:tcPr>
            <w:tcW w:type="dxa" w:w="4320"/>
          </w:tcPr>
          <w:p>
            <w:r>
              <w:t>36.9%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47.9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48.6%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43.9%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81.1%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