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Overweight (KSSO &gt;=23 / WHO &gt;=25, country-specific)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Overweight (KSSO &gt;=23 / WHO &gt;=25, country-specific) was positively associated with Triglycerides, mg/dL (beta coefficient 42.94 (95% CI 38.81 to 47.08), false discovery rate q &lt;0.001) among 12287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42.94 (95% CI 38.81 to 47.08)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Overweight (KSSO &gt;=23 / WHO &gt;=25, country-specific) (exposure)</w:t>
            </w:r>
          </w:p>
        </w:tc>
        <w:tc>
          <w:tcPr>
            <w:tcW w:type="dxa" w:w="4320"/>
          </w:tcPr>
          <w:p>
            <w:r>
              <w:t>70.2%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