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 mass, kg was positively associated with Vitamin D deficiency (&lt;20 ng/mL) (odds ratio per 1-SD 1.23 (95% CI 1.13 to 1.34), false discovery rate q &lt;0.001) among 24836 adults aged 20 years or older (a weighted Vitamin D deficiency (&lt;20 ng/mL) prevalence of 24.5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1.23 (95% CI 1.13 to 1.34)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Appendicular skeletal muscle mass, kg (exposure)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