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Vitamin D deficiency (&lt;20 ng/mL) (odds ratio 1.10 (95% CI 0.92 to 1.31), false discovery rate q 0.359)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0.92 to 1.31)</w:t>
            </w:r>
          </w:p>
        </w:tc>
        <w:tc>
          <w:tcPr>
            <w:tcW w:type="dxa" w:w="1234"/>
          </w:tcPr>
          <w:p>
            <w:r>
              <w:t>0.305</w:t>
            </w:r>
          </w:p>
        </w:tc>
        <w:tc>
          <w:tcPr>
            <w:tcW w:type="dxa" w:w="1234"/>
          </w:tcPr>
          <w:p>
            <w:r>
              <w:t>0.359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