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attenuation parameter, dB/m and Vitamin D deficiency (&lt;20 ng/mL)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Controlled attenuation parameter, dB/m was positively associated with Vitamin D deficiency (&lt;20 ng/mL) (odds ratio per 1-SD 1.18 (95% CI 0.97 to 1.43), false discovery rate q 0.162) among 24836 adults aged 20 years or older (a weighted Vitamin D deficiency (&lt;20 ng/mL) prevalence of 24.5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1.18 (95% CI 0.97 to 1.43)</w:t>
            </w:r>
          </w:p>
        </w:tc>
        <w:tc>
          <w:tcPr>
            <w:tcW w:type="dxa" w:w="1234"/>
          </w:tcPr>
          <w:p>
            <w:r>
              <w:t>0.127</w:t>
            </w:r>
          </w:p>
        </w:tc>
        <w:tc>
          <w:tcPr>
            <w:tcW w:type="dxa" w:w="1234"/>
          </w:tcPr>
          <w:p>
            <w:r>
              <w:t>0.162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Controlled attenuation parameter, dB/m (exposure)</w:t>
            </w:r>
          </w:p>
        </w:tc>
        <w:tc>
          <w:tcPr>
            <w:tcW w:type="dxa" w:w="2160"/>
          </w:tcPr>
          <w:p>
            <w:r>
              <w:t>263.1</w:t>
            </w:r>
          </w:p>
        </w:tc>
        <w:tc>
          <w:tcPr>
            <w:tcW w:type="dxa" w:w="2160"/>
          </w:tcPr>
          <w:p>
            <w:r>
              <w:t>261.3</w:t>
            </w:r>
          </w:p>
        </w:tc>
        <w:tc>
          <w:tcPr>
            <w:tcW w:type="dxa" w:w="2160"/>
          </w:tcPr>
          <w:p>
            <w:r>
              <w:t>269.3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