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Vitamin D deficiency (&lt;20 ng/mL) (odds ratio per 1-SD 1.02 (95% CI 0.97 to 1.07), false discovery rate q 0.505)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0.97 to 1.07)</w:t>
            </w:r>
          </w:p>
        </w:tc>
        <w:tc>
          <w:tcPr>
            <w:tcW w:type="dxa" w:w="1234"/>
          </w:tcPr>
          <w:p>
            <w:r>
              <w:t>0.446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71.4</w:t>
            </w:r>
          </w:p>
        </w:tc>
        <w:tc>
          <w:tcPr>
            <w:tcW w:type="dxa" w:w="2160"/>
          </w:tcPr>
          <w:p>
            <w:r>
              <w:t>71.8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