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Vitamin D deficiency (&lt;20 ng/mL) (odds ratio 1.03 (95% CI 0.95 to 1.13), false discovery rate q 0.503)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0.95 to 1.13)</w:t>
            </w:r>
          </w:p>
        </w:tc>
        <w:tc>
          <w:tcPr>
            <w:tcW w:type="dxa" w:w="1234"/>
          </w:tcPr>
          <w:p>
            <w:r>
              <w:t>0.444</w:t>
            </w:r>
          </w:p>
        </w:tc>
        <w:tc>
          <w:tcPr>
            <w:tcW w:type="dxa" w:w="1234"/>
          </w:tcPr>
          <w:p>
            <w:r>
              <w:t>0.503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  <w:tc>
          <w:tcPr>
            <w:tcW w:type="dxa" w:w="2160"/>
          </w:tcPr>
          <w:p>
            <w:r>
              <w:t>52.4%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