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Vitamin D deficiency (&lt;20 ng/mL) (odds ratio 0.96 (95% CI 0.89 to 1.04), false discovery rate q 0.384) among 24836 adults aged 20 years or older (a weighted Vitamin D deficiency (&lt;20 ng/mL) prevalence of 24.5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0.89 to 1.04)</w:t>
            </w:r>
          </w:p>
        </w:tc>
        <w:tc>
          <w:tcPr>
            <w:tcW w:type="dxa" w:w="1234"/>
          </w:tcPr>
          <w:p>
            <w:r>
              <w:t>0.329</w:t>
            </w:r>
          </w:p>
        </w:tc>
        <w:tc>
          <w:tcPr>
            <w:tcW w:type="dxa" w:w="1234"/>
          </w:tcPr>
          <w:p>
            <w:r>
              <w:t>0.384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